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B8" w:rsidRDefault="00427DB8" w:rsidP="00FA2B09">
      <w:pPr>
        <w:shd w:val="clear" w:color="auto" w:fill="FFFFFF"/>
        <w:spacing w:after="150" w:line="510" w:lineRule="atLeast"/>
        <w:textAlignment w:val="top"/>
        <w:outlineLvl w:val="1"/>
        <w:rPr>
          <w:rFonts w:ascii="Helvetica" w:eastAsia="Times New Roman" w:hAnsi="Helvetica" w:cs="Helvetica"/>
          <w:b/>
          <w:bCs/>
          <w:color w:val="21417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214176"/>
          <w:sz w:val="24"/>
          <w:szCs w:val="24"/>
          <w:lang w:eastAsia="ru-RU"/>
        </w:rPr>
        <w:t>ПАМЯТКА</w:t>
      </w:r>
    </w:p>
    <w:p w:rsidR="00FA2B09" w:rsidRPr="00427DB8" w:rsidRDefault="00FA2B09" w:rsidP="00427DB8">
      <w:pPr>
        <w:shd w:val="clear" w:color="auto" w:fill="FFFFFF"/>
        <w:spacing w:after="150" w:line="510" w:lineRule="atLeast"/>
        <w:jc w:val="center"/>
        <w:textAlignment w:val="top"/>
        <w:outlineLvl w:val="1"/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</w:pPr>
      <w:proofErr w:type="gramStart"/>
      <w:r w:rsidRPr="00427DB8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В</w:t>
      </w:r>
      <w:proofErr w:type="gramEnd"/>
      <w:r w:rsidRPr="00427DB8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 xml:space="preserve"> каких случаях населению необходимо обращаться в ЕДДС</w:t>
      </w:r>
    </w:p>
    <w:p w:rsidR="00FA2B09" w:rsidRPr="00427DB8" w:rsidRDefault="00FA2B09" w:rsidP="00427D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При угрозе или возникновении ЧС, сообщений о любых происшествиях, несущих информацию об угрозе или возникновении ЧС, при нарушении жизнеобеспечения населения.</w:t>
      </w:r>
    </w:p>
    <w:p w:rsidR="00427DB8" w:rsidRPr="00427DB8" w:rsidRDefault="00427DB8" w:rsidP="00427D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bookmarkStart w:id="0" w:name="_GoBack"/>
      <w:bookmarkEnd w:id="0"/>
    </w:p>
    <w:p w:rsidR="00FA2B09" w:rsidRPr="00427DB8" w:rsidRDefault="00FA2B09" w:rsidP="00427DB8">
      <w:pPr>
        <w:shd w:val="clear" w:color="auto" w:fill="FFFFFF"/>
        <w:spacing w:after="150" w:line="510" w:lineRule="atLeast"/>
        <w:jc w:val="both"/>
        <w:textAlignment w:val="top"/>
        <w:outlineLvl w:val="1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Основные задачи ЕДДС</w:t>
      </w:r>
    </w:p>
    <w:p w:rsidR="00FA2B09" w:rsidRPr="00427DB8" w:rsidRDefault="00FA2B09" w:rsidP="00427DB8">
      <w:pPr>
        <w:numPr>
          <w:ilvl w:val="0"/>
          <w:numId w:val="2"/>
        </w:numPr>
        <w:pBdr>
          <w:top w:val="single" w:sz="2" w:space="0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Прием от населения и организаций сообщений о чрезвычайных ситуациях (ЧС) или иных происшествиях, связанных с угрозой жизни или здоровью людей, нарушением условий их жизнедеятельности</w:t>
      </w:r>
    </w:p>
    <w:p w:rsidR="00FA2B09" w:rsidRPr="00427DB8" w:rsidRDefault="00FA2B09" w:rsidP="00427DB8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proofErr w:type="gramStart"/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Мониторинг информации глобальной навигационной спутниковой системы (ГЛОНАСС) или ГЛОНАСС/GPS, сигналов SOS, справочной и сопутствующей информации от аппаратуры, установленной на транспортных средствах, включенных в региональную навигационно-информационную систему транспортного комплекса Свердловской области (РНИС ТК СО), в том числе и от образовательных учреждений через подсистему мониторинга перевозок детей школьными автобусами в городском округе Первоуральск</w:t>
      </w:r>
      <w:proofErr w:type="gramEnd"/>
    </w:p>
    <w:p w:rsidR="00FA2B09" w:rsidRPr="00427DB8" w:rsidRDefault="00FA2B09" w:rsidP="00427DB8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Доведение поступившей информации до дежурно-диспетчерских служб (ДДС), в компетенцию которой входит реагирование на принятое сообщение (информацию)</w:t>
      </w:r>
    </w:p>
    <w:p w:rsidR="00FA2B09" w:rsidRPr="00427DB8" w:rsidRDefault="00FA2B09" w:rsidP="00427DB8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Организация экстренного реагирования на сообщения о ЧС или ином происшествии подчиненными силами постоянной готовности</w:t>
      </w:r>
    </w:p>
    <w:p w:rsidR="00FA2B09" w:rsidRPr="00427DB8" w:rsidRDefault="00FA2B09" w:rsidP="00427DB8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Оповещение органов местного самоуправления и населения об угрозе или факте возникновения ЧС</w:t>
      </w:r>
    </w:p>
    <w:p w:rsidR="00FA2B09" w:rsidRPr="00427DB8" w:rsidRDefault="00FA2B09" w:rsidP="00427DB8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Сбор от ДДС, служб контроля и наблюдения за окружающей средой (систем мониторинга) информации об оперативной обстановке на территории городского округа Первоуральск</w:t>
      </w:r>
    </w:p>
    <w:p w:rsidR="00FA2B09" w:rsidRPr="00427DB8" w:rsidRDefault="00FA2B09" w:rsidP="00427DB8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 xml:space="preserve">Прием и передача сигналов управления </w:t>
      </w:r>
      <w:proofErr w:type="gramStart"/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в</w:t>
      </w:r>
      <w:proofErr w:type="gramEnd"/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 xml:space="preserve"> </w:t>
      </w:r>
      <w:proofErr w:type="gramStart"/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Первоуральском</w:t>
      </w:r>
      <w:proofErr w:type="gramEnd"/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 xml:space="preserve"> городском звене областной подсистемы Единой государственной системы предупреждения и ликвидации чрезвычайных ситуаций (РСЧС), доведение задач, поставленных вышестоящими органами управления РСЧС, до ДДС и контроль их выполнения</w:t>
      </w:r>
    </w:p>
    <w:p w:rsidR="00FA2B09" w:rsidRPr="00427DB8" w:rsidRDefault="00FA2B09" w:rsidP="00427DB8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Информирование ДДС, привлекаемых к ликвидации последствий ЧС или иного происшествия, подчиненных сил постоянной готовности об обстановке, принятых и рекомендуемых мерах</w:t>
      </w:r>
    </w:p>
    <w:p w:rsidR="00FA2B09" w:rsidRPr="00427DB8" w:rsidRDefault="00FA2B09" w:rsidP="00427DB8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</w:pPr>
      <w:r w:rsidRPr="00427DB8">
        <w:rPr>
          <w:rFonts w:ascii="Helvetica" w:eastAsia="Times New Roman" w:hAnsi="Helvetica" w:cs="Helvetica"/>
          <w:color w:val="303030"/>
          <w:sz w:val="28"/>
          <w:szCs w:val="28"/>
          <w:lang w:eastAsia="ru-RU"/>
        </w:rPr>
        <w:t>Предоставление докладов (донесений) об угрозе или возникновении ЧС, сложившейся обстановке вышестоящим органам управления по подчиненности</w:t>
      </w:r>
    </w:p>
    <w:p w:rsidR="008907B3" w:rsidRPr="00427DB8" w:rsidRDefault="008907B3" w:rsidP="00427DB8">
      <w:pPr>
        <w:jc w:val="both"/>
        <w:rPr>
          <w:sz w:val="28"/>
          <w:szCs w:val="28"/>
        </w:rPr>
      </w:pPr>
    </w:p>
    <w:sectPr w:rsidR="008907B3" w:rsidRPr="00427DB8" w:rsidSect="00427D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83DEE"/>
    <w:multiLevelType w:val="multilevel"/>
    <w:tmpl w:val="3EA0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B70F3"/>
    <w:multiLevelType w:val="multilevel"/>
    <w:tmpl w:val="D736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09"/>
    <w:rsid w:val="00427DB8"/>
    <w:rsid w:val="008907B3"/>
    <w:rsid w:val="00F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2021-09-30T07:01:00Z</dcterms:created>
  <dcterms:modified xsi:type="dcterms:W3CDTF">2021-10-01T10:49:00Z</dcterms:modified>
</cp:coreProperties>
</file>