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D5581" w:rsidRDefault="003B3936">
      <w:pPr>
        <w:pStyle w:val="af2"/>
        <w:jc w:val="center"/>
      </w:pPr>
      <w:r>
        <w:t>Экспертный лист</w:t>
      </w:r>
    </w:p>
    <w:p w:rsidR="00AD5581" w:rsidRDefault="003B3936">
      <w:pPr>
        <w:pStyle w:val="af0"/>
        <w:tabs>
          <w:tab w:val="left" w:pos="448"/>
        </w:tabs>
        <w:spacing w:before="179"/>
        <w:ind w:left="2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оценки дополнительной общеобразовательной программы</w:t>
      </w:r>
    </w:p>
    <w:p w:rsidR="00AD5581" w:rsidRDefault="003B3936" w:rsidP="00FC7670">
      <w:pPr>
        <w:pStyle w:val="af0"/>
        <w:tabs>
          <w:tab w:val="left" w:pos="448"/>
        </w:tabs>
        <w:spacing w:after="0"/>
        <w:ind w:left="4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сведения о программе:</w:t>
      </w:r>
    </w:p>
    <w:tbl>
      <w:tblPr>
        <w:tblW w:w="10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6131"/>
      </w:tblGrid>
      <w:tr w:rsidR="00AD5581">
        <w:tc>
          <w:tcPr>
            <w:tcW w:w="4079" w:type="dxa"/>
            <w:shd w:val="clear" w:color="auto" w:fill="auto"/>
          </w:tcPr>
          <w:p w:rsidR="00AD5581" w:rsidRDefault="003B3936" w:rsidP="00FC7670">
            <w:pPr>
              <w:pStyle w:val="af0"/>
              <w:tabs>
                <w:tab w:val="left" w:pos="448"/>
              </w:tabs>
              <w:spacing w:after="0"/>
              <w:ind w:left="45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6130" w:type="dxa"/>
            <w:tcBorders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5581" w:rsidRDefault="00AD5581" w:rsidP="00FC7670">
            <w:pPr>
              <w:pStyle w:val="af0"/>
              <w:tabs>
                <w:tab w:val="left" w:pos="448"/>
              </w:tabs>
              <w:spacing w:after="0"/>
              <w:ind w:left="57"/>
              <w:rPr>
                <w:lang w:val="en-US"/>
              </w:rPr>
            </w:pPr>
          </w:p>
        </w:tc>
      </w:tr>
      <w:tr w:rsidR="00AD5581">
        <w:tc>
          <w:tcPr>
            <w:tcW w:w="4079" w:type="dxa"/>
            <w:shd w:val="clear" w:color="auto" w:fill="auto"/>
          </w:tcPr>
          <w:p w:rsidR="00AD5581" w:rsidRDefault="003B3936" w:rsidP="00FC7670">
            <w:pPr>
              <w:pStyle w:val="af0"/>
              <w:tabs>
                <w:tab w:val="left" w:pos="448"/>
              </w:tabs>
              <w:spacing w:after="0"/>
              <w:ind w:left="454"/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130" w:type="dxa"/>
            <w:tcBorders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5581" w:rsidRPr="00FC7670" w:rsidRDefault="00AD5581" w:rsidP="00FC7670">
            <w:pPr>
              <w:pStyle w:val="af0"/>
              <w:tabs>
                <w:tab w:val="left" w:pos="448"/>
              </w:tabs>
              <w:spacing w:after="0"/>
              <w:ind w:left="57"/>
            </w:pPr>
          </w:p>
        </w:tc>
      </w:tr>
      <w:tr w:rsidR="00AD5581">
        <w:tc>
          <w:tcPr>
            <w:tcW w:w="4079" w:type="dxa"/>
            <w:shd w:val="clear" w:color="auto" w:fill="auto"/>
          </w:tcPr>
          <w:p w:rsidR="00AD5581" w:rsidRDefault="003B3936" w:rsidP="00FC7670">
            <w:pPr>
              <w:pStyle w:val="af0"/>
              <w:tabs>
                <w:tab w:val="left" w:pos="448"/>
              </w:tabs>
              <w:spacing w:after="0"/>
              <w:ind w:left="454"/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6130" w:type="dxa"/>
            <w:tcBorders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5581" w:rsidRDefault="00AD5581" w:rsidP="00FC7670">
            <w:pPr>
              <w:pStyle w:val="af0"/>
              <w:tabs>
                <w:tab w:val="left" w:pos="448"/>
              </w:tabs>
              <w:spacing w:after="0"/>
              <w:ind w:left="57"/>
              <w:rPr>
                <w:lang w:val="en-US"/>
              </w:rPr>
            </w:pPr>
          </w:p>
        </w:tc>
      </w:tr>
      <w:tr w:rsidR="00AD5581">
        <w:tc>
          <w:tcPr>
            <w:tcW w:w="4079" w:type="dxa"/>
            <w:shd w:val="clear" w:color="auto" w:fill="auto"/>
          </w:tcPr>
          <w:p w:rsidR="00AD5581" w:rsidRDefault="003B3936" w:rsidP="00FC7670">
            <w:pPr>
              <w:pStyle w:val="af0"/>
              <w:tabs>
                <w:tab w:val="left" w:pos="448"/>
              </w:tabs>
              <w:spacing w:after="0"/>
              <w:ind w:left="454"/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6130" w:type="dxa"/>
            <w:tcBorders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5581" w:rsidRDefault="00AD5581" w:rsidP="00FC7670">
            <w:pPr>
              <w:pStyle w:val="af0"/>
              <w:tabs>
                <w:tab w:val="left" w:pos="448"/>
              </w:tabs>
              <w:spacing w:after="0"/>
              <w:ind w:left="57"/>
            </w:pPr>
          </w:p>
        </w:tc>
      </w:tr>
      <w:tr w:rsidR="00AD5581">
        <w:tc>
          <w:tcPr>
            <w:tcW w:w="4079" w:type="dxa"/>
            <w:shd w:val="clear" w:color="auto" w:fill="auto"/>
          </w:tcPr>
          <w:p w:rsidR="00AD5581" w:rsidRDefault="003B3936" w:rsidP="00FC7670">
            <w:pPr>
              <w:pStyle w:val="af0"/>
              <w:tabs>
                <w:tab w:val="left" w:pos="448"/>
              </w:tabs>
              <w:spacing w:after="0"/>
              <w:ind w:left="454"/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программы</w:t>
            </w:r>
          </w:p>
        </w:tc>
        <w:tc>
          <w:tcPr>
            <w:tcW w:w="6130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581" w:rsidRDefault="00AD5581" w:rsidP="00FC7670">
            <w:pPr>
              <w:pStyle w:val="af0"/>
              <w:tabs>
                <w:tab w:val="left" w:pos="448"/>
              </w:tabs>
              <w:spacing w:after="0"/>
              <w:ind w:left="57"/>
            </w:pPr>
          </w:p>
        </w:tc>
      </w:tr>
    </w:tbl>
    <w:p w:rsidR="00AD5581" w:rsidRDefault="003B3936" w:rsidP="00FC7670">
      <w:pPr>
        <w:pStyle w:val="af0"/>
        <w:tabs>
          <w:tab w:val="left" w:pos="448"/>
        </w:tabs>
        <w:spacing w:after="0"/>
        <w:ind w:left="4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Результаты оценивания программы.</w:t>
      </w:r>
    </w:p>
    <w:tbl>
      <w:tblPr>
        <w:tblW w:w="989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"/>
        <w:gridCol w:w="5158"/>
        <w:gridCol w:w="992"/>
        <w:gridCol w:w="1985"/>
        <w:gridCol w:w="1252"/>
      </w:tblGrid>
      <w:tr w:rsidR="00AD5581" w:rsidTr="00FC7670"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rPr>
                <w:rFonts w:eastAsia="Times New Roman"/>
              </w:rPr>
            </w:pPr>
            <w:r>
              <w:rPr>
                <w:rFonts w:eastAsia="Times New Roman"/>
              </w:rPr>
              <w:t>Позиция оценивания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Балл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>
              <w:t>Ответ (если предусмотрен)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Тип ответа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 xml:space="preserve">1.1. Титульный лист: </w:t>
            </w:r>
            <w:bookmarkStart w:id="0" w:name="_GoBack"/>
            <w:bookmarkEnd w:id="0"/>
            <w:r w:rsidRPr="00FC7670">
              <w:t>соответствие оформления требованиям к ДОП (наименование образовательной организации; дата и номер протокола заседания коллегиального органа, рекомендовавшего ДОП к реализации; дата утверждения ДОП</w:t>
            </w:r>
            <w:r w:rsidRPr="00FC7670">
              <w:t xml:space="preserve"> руководителем (подпись и печать организации)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>1.2. Титульный лист: наименование ДОП с указанием ее направленности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>1.3. Титульный лист: целевая группа ДОП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>1.4. Титульный лист: сроки реализации ДОП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0 - 1 </w:t>
            </w:r>
            <w:r>
              <w:rPr>
                <w:rFonts w:eastAsia="Times New Roman"/>
                <w:lang w:val="en-US"/>
              </w:rPr>
              <w:t>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>1.5. Титульный лист: Ф.И.О., должность автора (</w:t>
            </w:r>
            <w:proofErr w:type="spellStart"/>
            <w:r w:rsidRPr="00FC7670">
              <w:t>ов</w:t>
            </w:r>
            <w:proofErr w:type="spellEnd"/>
            <w:r w:rsidRPr="00FC7670">
              <w:t>) - составителей ДОП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>1.6. Титульный лист: место (населенный пункт) реализации ДОП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 xml:space="preserve">2.1. Пояснительная записка: наличие необходимых элементов: направленность ДОП, </w:t>
            </w:r>
            <w:r w:rsidRPr="00FC7670">
              <w:t>актуальность, целевая группа ДОП, режим занятий, общий объем программы, срок освоения ДОП, особенности организации образовательного процесса, перечень форм обучения, перечень видов занятий, перечень форм подведения итогов, логичность, последовательность из</w:t>
            </w:r>
            <w:r w:rsidRPr="00FC7670">
              <w:t>ложения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>2.2. Пояснительная записка: нормативно-правовая база должна быть актуальна на дату разработки ДОП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 xml:space="preserve">2.3. Пояснительная записка: обоснованность цели, задач, сроков и этапов реализации ДОП, форм организации </w:t>
            </w:r>
            <w:r w:rsidRPr="00FC7670">
              <w:t xml:space="preserve">образовательного процесса, методов и технологий обучения.  Цель отражает направленность ДОП и планируемый образовательный результат, цель конкретизирована через задачи: образовательные, воспитательные, </w:t>
            </w:r>
            <w:r w:rsidRPr="00FC7670">
              <w:lastRenderedPageBreak/>
              <w:t>развивающие. Формулировки задач отображают шаги по дос</w:t>
            </w:r>
            <w:r w:rsidRPr="00FC7670">
              <w:t>тижению образовательного результата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>2.4. Пояснительная записка: соответствие планируемых результатов (предметных, метапредметных, личностных) целям и задачам ДОП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 xml:space="preserve">3.1. Учебный план: наличие обязательных элементов – перечень, </w:t>
            </w:r>
            <w:r w:rsidRPr="00FC7670">
              <w:t>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>3.2. Учебный план: логичность последователь</w:t>
            </w:r>
            <w:r w:rsidRPr="00FC7670">
              <w:t>ности, системность разделов и тем ДОП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>4.1. Содержание учебного плана: педагогическая целесообразность подбора содержания ДОП (учет возрастных особенностей, уровня обучающихся, отражение основных дидактических принципов)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>4.2.</w:t>
            </w:r>
            <w:r w:rsidRPr="00FC7670">
              <w:t xml:space="preserve"> Содержание учебного плана: соответствие содержания учебному плану (представлено описание разделов и тем ДОП в соответствии с   последовательностью, заданной учебным планом, включая описание теоретических и практических частей, соблюдение баланса между зая</w:t>
            </w:r>
            <w:r w:rsidRPr="00FC7670">
              <w:t>вленной трудоемкостью темы и объемом представляемого содержания ДОП)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 xml:space="preserve">4.3. Содержание учебного плана: реализация образовательной программы не нацелена на достижение предметных результатов освоения программы дошкольного образования и(или) </w:t>
            </w:r>
            <w:r w:rsidRPr="00FC7670">
              <w:t>основной образовательной программы начального и(или) основного и(или) среднего общего образования, предусмотренных федеральными государственными образовательными стандартами основного общего образования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 xml:space="preserve">5.1. Условия реализации ДОП: наличие </w:t>
            </w:r>
            <w:r w:rsidRPr="00FC7670">
              <w:t>календарного учебного графика (определяет количество учебных недель, часов, продолжительность каникул, сроки проведения аттестации, а также режим занятий без указания конкретного учебного года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 xml:space="preserve">5.2. Условия реализации ДОП: наличие </w:t>
            </w:r>
            <w:r w:rsidRPr="00FC7670">
              <w:t>необходимых материально-технических условий для реализации ДОП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rPr>
                <w:lang w:val="en-US"/>
              </w:rPr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 xml:space="preserve">5.3. Условия реализации ДОП: наличие информационно-методических условий реализации ДОП, обеспечивающих достижение планируемых результатов (электронных образовательных ресурсов, </w:t>
            </w:r>
            <w:r w:rsidRPr="00FC7670">
              <w:t>информационных технологий, методических материалов к темам и разделам ДОП, учебно-методического комплекса)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rPr>
                <w:lang w:val="en-US"/>
              </w:rPr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>5.4. Условия реализации ДОП: наличие оценочных материалов (пакета диагностических методик), позволяющих определить достижение учащими</w:t>
            </w:r>
            <w:r w:rsidRPr="00FC7670">
              <w:t>ся планируемых результатов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rPr>
                <w:lang w:val="en-US"/>
              </w:rPr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>6.1. Список литературы: наличие списков литературы для педагога, учащихся (родителей)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rPr>
                <w:lang w:val="en-US"/>
              </w:rPr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 xml:space="preserve">6.2. Список литературы: соответствие оформления списков использованной и рекомендуемой литературы правилам </w:t>
            </w:r>
            <w:r w:rsidRPr="00FC7670">
              <w:t>составления библиографического списка (ГОСТ Р 7.0.11-2011 либо ГОСТ Р 7.0.100-2018)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rPr>
                <w:lang w:val="en-US"/>
              </w:rPr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>7.1. Оформление ДОП: соответствие оформления ДОП общим требованиям к созданию документов (ГОСТ Р 7.0.97-2016)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rPr>
                <w:lang w:val="en-US"/>
              </w:rPr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 w:rsidRPr="00FC7670">
              <w:t xml:space="preserve">7.2. Оформление ДОП:  </w:t>
            </w:r>
            <w:r w:rsidRPr="00FC7670">
              <w:t>соответствие и обоснованность используемой терминологии, отсутствие грамматических, стилистических и пунктуационных ошибок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rPr>
                <w:lang w:val="en-US"/>
              </w:rPr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0 - 1 балл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>
              <w:rPr>
                <w:lang w:val="en-US"/>
              </w:rPr>
              <w:t>Экспертное заключение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rPr>
                <w:lang w:val="en-US"/>
              </w:rPr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текст</w:t>
            </w:r>
          </w:p>
        </w:tc>
      </w:tr>
      <w:tr w:rsidR="00AD5581" w:rsidTr="00FC767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</w:pPr>
            <w:r>
              <w:rPr>
                <w:lang w:val="en-US"/>
              </w:rPr>
              <w:t>Экспертные рекомендации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5581" w:rsidRPr="00FC7670" w:rsidRDefault="00AD5581">
            <w:pPr>
              <w:pStyle w:val="af9"/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текст</w:t>
            </w:r>
          </w:p>
        </w:tc>
      </w:tr>
      <w:tr w:rsidR="00AD5581" w:rsidTr="00FC767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D5581" w:rsidRDefault="003B3936">
            <w:pPr>
              <w:pStyle w:val="af9"/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ИТОГО по всем показателям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D5581" w:rsidRDefault="00AD5581">
            <w:pPr>
              <w:pStyle w:val="af9"/>
            </w:pP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81" w:rsidRDefault="00AD5581">
            <w:pPr>
              <w:pStyle w:val="af9"/>
              <w:jc w:val="center"/>
              <w:rPr>
                <w:rFonts w:eastAsia="Times New Roman"/>
                <w:lang w:val="en-US"/>
              </w:rPr>
            </w:pPr>
          </w:p>
        </w:tc>
      </w:tr>
    </w:tbl>
    <w:p w:rsidR="00AD5581" w:rsidRDefault="00AD5581">
      <w:pPr>
        <w:pStyle w:val="af2"/>
      </w:pPr>
    </w:p>
    <w:p w:rsidR="00AD5581" w:rsidRDefault="00AD5581">
      <w:pPr>
        <w:pStyle w:val="af2"/>
      </w:pPr>
    </w:p>
    <w:p w:rsidR="00AD5581" w:rsidRDefault="00AD5581">
      <w:pPr>
        <w:pStyle w:val="af2"/>
      </w:pPr>
    </w:p>
    <w:p w:rsidR="00AD5581" w:rsidRDefault="00FC7670">
      <w:pPr>
        <w:pStyle w:val="af2"/>
        <w:jc w:val="right"/>
      </w:pPr>
      <w:r>
        <w:t xml:space="preserve">Эксперт 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AD5581">
      <w:headerReference w:type="default" r:id="rId8"/>
      <w:footerReference w:type="default" r:id="rId9"/>
      <w:pgSz w:w="11906" w:h="16838"/>
      <w:pgMar w:top="851" w:right="566" w:bottom="766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936" w:rsidRDefault="003B3936">
      <w:r>
        <w:separator/>
      </w:r>
    </w:p>
  </w:endnote>
  <w:endnote w:type="continuationSeparator" w:id="0">
    <w:p w:rsidR="003B3936" w:rsidRDefault="003B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81" w:rsidRDefault="00AD558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936" w:rsidRDefault="003B3936">
      <w:r>
        <w:separator/>
      </w:r>
    </w:p>
  </w:footnote>
  <w:footnote w:type="continuationSeparator" w:id="0">
    <w:p w:rsidR="003B3936" w:rsidRDefault="003B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81" w:rsidRDefault="00AD558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614"/>
    <w:multiLevelType w:val="multilevel"/>
    <w:tmpl w:val="6158D8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BF031CC"/>
    <w:multiLevelType w:val="multilevel"/>
    <w:tmpl w:val="2FBC8710"/>
    <w:lvl w:ilvl="0">
      <w:start w:val="1"/>
      <w:numFmt w:val="decimal"/>
      <w:suff w:val="nothing"/>
      <w:lvlText w:val="%1."/>
      <w:lvlJc w:val="center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81"/>
    <w:rsid w:val="003B3936"/>
    <w:rsid w:val="00AD5581"/>
    <w:rsid w:val="00FC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CE45"/>
  <w15:docId w15:val="{D10E6921-B368-4001-BB65-5FD22AA4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u w:val="single"/>
    </w:rPr>
  </w:style>
  <w:style w:type="character" w:customStyle="1" w:styleId="a3">
    <w:name w:val="Текст примечания Знак"/>
    <w:basedOn w:val="a0"/>
    <w:uiPriority w:val="99"/>
    <w:semiHidden/>
    <w:qFormat/>
    <w:rPr>
      <w:rFonts w:cs="Arial Unicode MS"/>
      <w:color w:val="000000"/>
      <w:u w:val="none" w:color="000000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754823"/>
    <w:rPr>
      <w:rFonts w:cs="Arial Unicode MS"/>
      <w:color w:val="000000"/>
      <w:sz w:val="24"/>
      <w:szCs w:val="24"/>
      <w:u w:val="none" w:color="000000"/>
    </w:rPr>
  </w:style>
  <w:style w:type="character" w:customStyle="1" w:styleId="a6">
    <w:name w:val="Нижний колонтитул Знак"/>
    <w:basedOn w:val="a0"/>
    <w:uiPriority w:val="99"/>
    <w:qFormat/>
    <w:rsid w:val="00754823"/>
    <w:rPr>
      <w:rFonts w:cs="Arial Unicode MS"/>
      <w:color w:val="000000"/>
      <w:sz w:val="24"/>
      <w:szCs w:val="24"/>
      <w:u w:val="none" w:color="000000"/>
    </w:rPr>
  </w:style>
  <w:style w:type="character" w:customStyle="1" w:styleId="a7">
    <w:name w:val="Текст выноски Знак"/>
    <w:basedOn w:val="a0"/>
    <w:uiPriority w:val="99"/>
    <w:semiHidden/>
    <w:qFormat/>
    <w:rsid w:val="00754823"/>
    <w:rPr>
      <w:color w:val="000000"/>
      <w:sz w:val="18"/>
      <w:szCs w:val="18"/>
      <w:u w:val="none" w:color="000000"/>
    </w:rPr>
  </w:style>
  <w:style w:type="character" w:customStyle="1" w:styleId="a8">
    <w:name w:val="Тема примечания Знак"/>
    <w:basedOn w:val="a3"/>
    <w:uiPriority w:val="99"/>
    <w:semiHidden/>
    <w:qFormat/>
    <w:rsid w:val="00754823"/>
    <w:rPr>
      <w:rFonts w:cs="Arial Unicode MS"/>
      <w:b/>
      <w:bCs/>
      <w:color w:val="000000"/>
      <w:u w:val="none" w:color="000000"/>
    </w:rPr>
  </w:style>
  <w:style w:type="character" w:customStyle="1" w:styleId="a9">
    <w:name w:val="Символ нумерации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ascii="Calibri" w:hAnsi="Calibri" w:cs="Arial"/>
    </w:rPr>
  </w:style>
  <w:style w:type="paragraph" w:customStyle="1" w:styleId="af">
    <w:name w:val="Колонтитул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f0">
    <w:name w:val="List Paragraph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 Unicode MS"/>
      <w:color w:val="000000"/>
      <w:sz w:val="24"/>
      <w:u w:color="000000"/>
    </w:rPr>
  </w:style>
  <w:style w:type="paragraph" w:customStyle="1" w:styleId="af1">
    <w:name w:val="По умолчанию"/>
    <w:qFormat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f2">
    <w:name w:val="No Spacing"/>
    <w:qFormat/>
    <w:rPr>
      <w:rFonts w:eastAsia="Times New Roman"/>
      <w:color w:val="000000"/>
      <w:sz w:val="24"/>
      <w:szCs w:val="24"/>
      <w:u w:color="000000"/>
    </w:rPr>
  </w:style>
  <w:style w:type="paragraph" w:customStyle="1" w:styleId="TableParagraph">
    <w:name w:val="Table Paragraph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af3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754823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754823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754823"/>
    <w:rPr>
      <w:rFonts w:cs="Times New Roman"/>
      <w:sz w:val="18"/>
      <w:szCs w:val="18"/>
    </w:rPr>
  </w:style>
  <w:style w:type="paragraph" w:styleId="af8">
    <w:name w:val="annotation subject"/>
    <w:basedOn w:val="af3"/>
    <w:next w:val="af3"/>
    <w:uiPriority w:val="99"/>
    <w:semiHidden/>
    <w:unhideWhenUsed/>
    <w:qFormat/>
    <w:rsid w:val="00754823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1">
    <w:name w:val="Импортированный стиль 1"/>
    <w:qFormat/>
  </w:style>
  <w:style w:type="numbering" w:customStyle="1" w:styleId="123">
    <w:name w:val="Нумерованный 123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7AA74B-8D03-4B2E-84E5-86205261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18</cp:revision>
  <dcterms:created xsi:type="dcterms:W3CDTF">2019-08-12T13:13:00Z</dcterms:created>
  <dcterms:modified xsi:type="dcterms:W3CDTF">2024-11-12T04:45:00Z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